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B3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2562DC" w:rsidRDefault="002562DC">
      <w:pPr>
        <w:rPr>
          <w:rFonts w:ascii="Verdana" w:hAnsi="Verdana"/>
          <w:b/>
          <w:sz w:val="18"/>
          <w:szCs w:val="18"/>
          <w:u w:val="single"/>
        </w:rPr>
      </w:pPr>
    </w:p>
    <w:p w:rsidR="002562DC" w:rsidRDefault="002562DC">
      <w:pPr>
        <w:rPr>
          <w:rFonts w:ascii="Verdana" w:hAnsi="Verdana"/>
          <w:b/>
          <w:sz w:val="18"/>
          <w:szCs w:val="18"/>
          <w:u w:val="single"/>
        </w:rPr>
      </w:pPr>
    </w:p>
    <w:p w:rsidR="00063855" w:rsidRDefault="00F12DC0" w:rsidP="009B52F5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</w:p>
    <w:p w:rsidR="002B5BB3" w:rsidRPr="00D735C1" w:rsidRDefault="002B5BB3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2B5BB3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2B5BB3" w:rsidRDefault="002B5BB3">
      <w:pPr>
        <w:rPr>
          <w:sz w:val="16"/>
          <w:szCs w:val="16"/>
          <w:u w:val="single"/>
        </w:rPr>
      </w:pPr>
    </w:p>
    <w:p w:rsidR="002B5BB3" w:rsidRPr="002B5BB3" w:rsidRDefault="002B5BB3" w:rsidP="002B5BB3">
      <w:pPr>
        <w:rPr>
          <w:sz w:val="16"/>
          <w:szCs w:val="16"/>
        </w:rPr>
      </w:pPr>
    </w:p>
    <w:p w:rsidR="002B5BB3" w:rsidRDefault="002B5BB3">
      <w:pPr>
        <w:rPr>
          <w:sz w:val="16"/>
          <w:szCs w:val="16"/>
          <w:u w:val="single"/>
        </w:rPr>
      </w:pPr>
    </w:p>
    <w:p w:rsidR="00D735C1" w:rsidRPr="00D735C1" w:rsidRDefault="002B5BB3" w:rsidP="002B5BB3">
      <w:pPr>
        <w:tabs>
          <w:tab w:val="left" w:pos="16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562DC" w:rsidRPr="002562DC" w:rsidRDefault="002562DC" w:rsidP="002562DC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2562D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Zakup fabrycznie nowych, nieużywanych monitorów SAMSUNG</w:t>
            </w:r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65”</w:t>
            </w:r>
            <w:r w:rsidRPr="002562D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Pr="002562D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QH65B wraz z mobilnymi stojakami podłogowymi CHIEF-LPAUB.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62DC" w:rsidRDefault="002562DC" w:rsidP="002562DC">
      <w:pPr>
        <w:pStyle w:val="Akapitzlist"/>
        <w:spacing w:after="0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NETTO</w:t>
      </w:r>
      <w:r>
        <w:rPr>
          <w:rFonts w:ascii="Verdana" w:hAnsi="Verdana"/>
          <w:sz w:val="18"/>
          <w:szCs w:val="18"/>
        </w:rPr>
        <w:t xml:space="preserve">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 w:rsidR="006C20BC"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Default="00003792" w:rsidP="00564ED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564ED2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:rsidR="00564ED2" w:rsidRDefault="00564ED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2562DC" w:rsidRDefault="002562DC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2562DC" w:rsidRDefault="002562DC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2562DC" w:rsidRDefault="002562DC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2562DC" w:rsidRPr="00003792" w:rsidRDefault="002562DC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lastRenderedPageBreak/>
        <w:t xml:space="preserve">Wynagrodzenie określone w pkt 1 zostało ustalone na podstawie poniższej tabeli: </w:t>
      </w:r>
    </w:p>
    <w:p w:rsidR="002B5BB3" w:rsidRPr="00676790" w:rsidRDefault="002B5BB3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280"/>
      </w:tblGrid>
      <w:tr w:rsidR="002562DC" w:rsidRPr="002A6259" w:rsidTr="002562DC">
        <w:tc>
          <w:tcPr>
            <w:tcW w:w="475" w:type="dxa"/>
            <w:shd w:val="clear" w:color="auto" w:fill="9CC2E5" w:themeFill="accent1" w:themeFillTint="99"/>
            <w:vAlign w:val="center"/>
          </w:tcPr>
          <w:p w:rsidR="002562DC" w:rsidRPr="002A6259" w:rsidRDefault="002562DC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562DC" w:rsidRPr="002A6259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562DC" w:rsidRDefault="002562DC" w:rsidP="00AF747B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:rsidR="002562DC" w:rsidRPr="002A6259" w:rsidRDefault="002562DC" w:rsidP="00AF747B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562DC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562DC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562DC" w:rsidRPr="002A6259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562DC" w:rsidRPr="002A6259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562DC" w:rsidRPr="002A6259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562DC" w:rsidRPr="002A6259" w:rsidRDefault="002562DC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</w:tcPr>
          <w:p w:rsidR="002562DC" w:rsidRDefault="002562DC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Wartość całkowita</w:t>
            </w:r>
          </w:p>
          <w:p w:rsidR="002562DC" w:rsidRPr="002A6259" w:rsidRDefault="002562DC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brutto</w:t>
            </w:r>
          </w:p>
        </w:tc>
      </w:tr>
      <w:tr w:rsidR="002562DC" w:rsidRPr="002A6259" w:rsidTr="002562DC">
        <w:trPr>
          <w:trHeight w:val="712"/>
        </w:trPr>
        <w:tc>
          <w:tcPr>
            <w:tcW w:w="475" w:type="dxa"/>
            <w:vAlign w:val="center"/>
          </w:tcPr>
          <w:p w:rsidR="002562DC" w:rsidRPr="002A6259" w:rsidRDefault="002562DC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2562DC" w:rsidRDefault="002562DC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2562DC" w:rsidRPr="002A6259" w:rsidRDefault="002562DC" w:rsidP="002562D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MONITOR </w:t>
            </w:r>
            <w:r w:rsidRPr="002562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SAMSUNG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65”</w:t>
            </w:r>
            <w:r w:rsidRPr="002562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562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QH65B </w:t>
            </w:r>
          </w:p>
        </w:tc>
        <w:tc>
          <w:tcPr>
            <w:tcW w:w="878" w:type="dxa"/>
            <w:vAlign w:val="center"/>
          </w:tcPr>
          <w:p w:rsidR="002562DC" w:rsidRPr="002A6259" w:rsidRDefault="002562DC" w:rsidP="00A70E84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562DC" w:rsidRPr="002A6259" w:rsidTr="002562DC">
        <w:trPr>
          <w:trHeight w:val="712"/>
        </w:trPr>
        <w:tc>
          <w:tcPr>
            <w:tcW w:w="475" w:type="dxa"/>
            <w:vAlign w:val="center"/>
          </w:tcPr>
          <w:p w:rsidR="002562DC" w:rsidRPr="002A6259" w:rsidRDefault="002562DC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2562DC" w:rsidRDefault="002562DC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STOJAK </w:t>
            </w:r>
            <w:r w:rsidRPr="002562DC">
              <w:rPr>
                <w:rFonts w:ascii="Franklin Gothic Book" w:eastAsia="Times New Roman" w:hAnsi="Franklin Gothic Book"/>
              </w:rPr>
              <w:t xml:space="preserve"> </w:t>
            </w:r>
            <w:r w:rsidRPr="002562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CHIEF-LPAUB</w:t>
            </w:r>
          </w:p>
        </w:tc>
        <w:tc>
          <w:tcPr>
            <w:tcW w:w="878" w:type="dxa"/>
            <w:vAlign w:val="center"/>
          </w:tcPr>
          <w:p w:rsidR="002562DC" w:rsidRDefault="002562DC" w:rsidP="00A70E84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562DC" w:rsidRPr="002A6259" w:rsidRDefault="002562DC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11DC1">
        <w:rPr>
          <w:rFonts w:ascii="Verdana" w:eastAsia="Calibri" w:hAnsi="Verdana" w:cs="Calibri"/>
          <w:b/>
          <w:sz w:val="18"/>
          <w:szCs w:val="18"/>
          <w:u w:val="single"/>
        </w:rPr>
        <w:t>Wynagrodzenie przedstawione w Ofercie obejmuje wszystkie koszty związane z realizacją przedmiotu zamówienia</w:t>
      </w:r>
      <w:r w:rsidR="00D8522D" w:rsidRPr="00211DC1">
        <w:rPr>
          <w:rFonts w:ascii="Verdana" w:eastAsia="Calibri" w:hAnsi="Verdana" w:cs="Calibri"/>
          <w:b/>
          <w:sz w:val="18"/>
          <w:szCs w:val="18"/>
          <w:u w:val="single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211DC1">
        <w:rPr>
          <w:rFonts w:ascii="Verdana" w:eastAsia="Calibri" w:hAnsi="Verdana" w:cs="Calibri"/>
          <w:b/>
          <w:sz w:val="18"/>
          <w:szCs w:val="18"/>
        </w:rPr>
        <w:t>2</w:t>
      </w:r>
      <w:r w:rsidR="002562DC">
        <w:rPr>
          <w:rFonts w:ascii="Verdana" w:eastAsia="Calibri" w:hAnsi="Verdana" w:cs="Calibri"/>
          <w:b/>
          <w:sz w:val="18"/>
          <w:szCs w:val="18"/>
        </w:rPr>
        <w:t xml:space="preserve">4 </w:t>
      </w:r>
      <w:r w:rsidR="00645671">
        <w:rPr>
          <w:rFonts w:ascii="Verdana" w:eastAsia="Calibri" w:hAnsi="Verdana" w:cs="Calibri"/>
          <w:b/>
          <w:sz w:val="18"/>
          <w:szCs w:val="18"/>
        </w:rPr>
        <w:t>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wykonamy zamówienie zgodnie z obowiązującymi przepisami wewnętrznymi Zamawiającego, przepisami ochrony środowiska oraz bezpieczeństwa i higieny pracy obowiązującymi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>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2562DC" w:rsidRPr="00EB35B7" w:rsidTr="00493BED">
        <w:tc>
          <w:tcPr>
            <w:tcW w:w="2241" w:type="dxa"/>
          </w:tcPr>
          <w:p w:rsidR="002562DC" w:rsidRPr="00625204" w:rsidRDefault="002562DC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10</w:t>
            </w:r>
          </w:p>
        </w:tc>
        <w:tc>
          <w:tcPr>
            <w:tcW w:w="6471" w:type="dxa"/>
          </w:tcPr>
          <w:p w:rsidR="002562DC" w:rsidRPr="00FA587E" w:rsidRDefault="002562DC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Przedmiotowe środki dowodowe – karty katalogowe 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2562DC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2562DC" w:rsidRPr="002562DC" w:rsidRDefault="002562DC" w:rsidP="002562DC">
      <w:pPr>
        <w:spacing w:after="139" w:line="251" w:lineRule="auto"/>
        <w:ind w:left="10" w:right="14" w:hanging="10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Zakup fabrycznie nowych, nieużywanych monitorów SAMSUNG 65”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2562DC" w:rsidRPr="002562DC" w:rsidRDefault="002562DC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nowych, nieużywanych monitorów SAMSUNG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65”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7B1CFA" w:rsidRDefault="007B1CFA" w:rsidP="007B1CFA">
      <w:pPr>
        <w:pStyle w:val="Akapitzlist"/>
        <w:spacing w:after="120"/>
        <w:ind w:left="567" w:hanging="425"/>
        <w:jc w:val="center"/>
        <w:rPr>
          <w:rFonts w:cstheme="minorHAnsi"/>
          <w:b/>
          <w:bCs/>
          <w:color w:val="2E74B5" w:themeColor="accent1" w:themeShade="BF"/>
          <w:sz w:val="18"/>
          <w:szCs w:val="18"/>
        </w:rPr>
      </w:pPr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F44F09">
        <w:rPr>
          <w:rFonts w:ascii="Verdana" w:hAnsi="Verdana" w:cstheme="minorHAnsi"/>
          <w:b/>
          <w:sz w:val="18"/>
          <w:szCs w:val="18"/>
        </w:rPr>
        <w:t>4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2562DC" w:rsidRPr="002562DC" w:rsidRDefault="002562DC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nowych, nieużywanych monitorów SAMSUNG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65”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2562DC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4100/JW00/31/KZ/2023/0000054289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2562DC" w:rsidRPr="002562DC" w:rsidRDefault="002562DC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nowych, nieużywanych monitorów SAMSUNG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65”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2562DC" w:rsidRPr="002562DC" w:rsidRDefault="002562DC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nowych, nieużywanych monitorów SAMSUNG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65”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CC526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2562DC" w:rsidRPr="002562DC" w:rsidRDefault="002562DC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nowych, nieużywanych monitorów SAMSUNG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65”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2562DC">
        <w:rPr>
          <w:rFonts w:ascii="Verdana" w:eastAsia="Calibri" w:hAnsi="Verdana" w:cs="Calibri"/>
          <w:b/>
          <w:bCs/>
          <w:color w:val="365F91"/>
          <w:sz w:val="18"/>
          <w:szCs w:val="18"/>
        </w:rPr>
        <w:t>QH65B wraz z mobilnymi stojakami podłogowymi CHIEF-LPAUB.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ascii="Verdana" w:hAnsi="Verdana" w:cs="Calibri"/>
                <w:sz w:val="16"/>
                <w:szCs w:val="16"/>
              </w:rPr>
            </w:r>
            <w:r w:rsidR="002562D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cstheme="minorHAnsi"/>
                <w:sz w:val="16"/>
                <w:szCs w:val="16"/>
              </w:rPr>
            </w:r>
            <w:r w:rsidR="002562D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562DC">
              <w:rPr>
                <w:rFonts w:cstheme="minorHAnsi"/>
                <w:sz w:val="16"/>
                <w:szCs w:val="16"/>
              </w:rPr>
            </w:r>
            <w:r w:rsidR="002562D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7795">
              <w:rPr>
                <w:rFonts w:cstheme="minorHAnsi"/>
                <w:sz w:val="16"/>
                <w:szCs w:val="16"/>
              </w:rPr>
            </w:r>
            <w:r w:rsidR="00107795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7795">
              <w:rPr>
                <w:rFonts w:cstheme="minorHAnsi"/>
                <w:sz w:val="16"/>
                <w:szCs w:val="16"/>
              </w:rPr>
            </w:r>
            <w:r w:rsidR="00107795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10779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Przedmiotowe środki dowodowe: karty katalogowe</w:t>
      </w:r>
      <w:bookmarkStart w:id="1" w:name="_GoBack"/>
      <w:bookmarkEnd w:id="1"/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2C" w:rsidRDefault="00C23C2C" w:rsidP="00D735C1">
      <w:pPr>
        <w:spacing w:after="0" w:line="240" w:lineRule="auto"/>
      </w:pPr>
      <w:r>
        <w:separator/>
      </w:r>
    </w:p>
  </w:endnote>
  <w:endnote w:type="continuationSeparator" w:id="0">
    <w:p w:rsidR="00C23C2C" w:rsidRDefault="00C23C2C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79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79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817A95" w:rsidRDefault="002562D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6B4A38" w:rsidRDefault="002562D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79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79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Default="00256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2C" w:rsidRDefault="00C23C2C" w:rsidP="00D735C1">
      <w:pPr>
        <w:spacing w:after="0" w:line="240" w:lineRule="auto"/>
      </w:pPr>
      <w:r>
        <w:separator/>
      </w:r>
    </w:p>
  </w:footnote>
  <w:footnote w:type="continuationSeparator" w:id="0">
    <w:p w:rsidR="00C23C2C" w:rsidRDefault="00C23C2C" w:rsidP="00D735C1">
      <w:pPr>
        <w:spacing w:after="0" w:line="240" w:lineRule="auto"/>
      </w:pPr>
      <w:r>
        <w:continuationSeparator/>
      </w:r>
    </w:p>
  </w:footnote>
  <w:footnote w:id="1">
    <w:p w:rsidR="002562DC" w:rsidRPr="00EF78FD" w:rsidRDefault="002562D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2562DC" w:rsidRPr="00891EB7" w:rsidRDefault="002562D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1C3AFE" w:rsidRDefault="002562D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2562DC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62DC" w:rsidRPr="002562DC" w:rsidRDefault="002562DC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2562DC">
            <w:rPr>
              <w:rFonts w:ascii="Verdana" w:hAnsi="Verdana"/>
              <w:bCs/>
              <w:sz w:val="14"/>
              <w:szCs w:val="14"/>
            </w:rPr>
            <w:t>4100/JW00/31/KZ/2023/0000054289</w:t>
          </w:r>
        </w:p>
      </w:tc>
    </w:tr>
  </w:tbl>
  <w:p w:rsidR="002562DC" w:rsidRDefault="00256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6B2CE4" w:rsidRDefault="002562DC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2562DC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4100/JW00/31/KZ/2023/0000054289</w:t>
          </w:r>
        </w:p>
      </w:tc>
    </w:tr>
  </w:tbl>
  <w:p w:rsidR="002562DC" w:rsidRPr="00003792" w:rsidRDefault="002562D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A3478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211DC1"/>
    <w:rsid w:val="00222605"/>
    <w:rsid w:val="0024014A"/>
    <w:rsid w:val="00253CE5"/>
    <w:rsid w:val="002562DC"/>
    <w:rsid w:val="00260AF4"/>
    <w:rsid w:val="0028407C"/>
    <w:rsid w:val="00294BC2"/>
    <w:rsid w:val="002A1261"/>
    <w:rsid w:val="002A6259"/>
    <w:rsid w:val="002B16F9"/>
    <w:rsid w:val="002B5BB3"/>
    <w:rsid w:val="002D116F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40505D"/>
    <w:rsid w:val="00427B08"/>
    <w:rsid w:val="00437B81"/>
    <w:rsid w:val="00493BED"/>
    <w:rsid w:val="005114F7"/>
    <w:rsid w:val="00527B06"/>
    <w:rsid w:val="00564ED2"/>
    <w:rsid w:val="005815CE"/>
    <w:rsid w:val="005A2903"/>
    <w:rsid w:val="00625204"/>
    <w:rsid w:val="00633434"/>
    <w:rsid w:val="00645671"/>
    <w:rsid w:val="00676790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47C7"/>
    <w:rsid w:val="008E708B"/>
    <w:rsid w:val="008F5469"/>
    <w:rsid w:val="008F56AC"/>
    <w:rsid w:val="00926E28"/>
    <w:rsid w:val="0094456A"/>
    <w:rsid w:val="009469F7"/>
    <w:rsid w:val="00951FAC"/>
    <w:rsid w:val="00955971"/>
    <w:rsid w:val="00962640"/>
    <w:rsid w:val="009B52F5"/>
    <w:rsid w:val="009B63E4"/>
    <w:rsid w:val="00A55828"/>
    <w:rsid w:val="00A64A65"/>
    <w:rsid w:val="00A70E84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7256"/>
    <w:rsid w:val="00C23C2C"/>
    <w:rsid w:val="00C83A03"/>
    <w:rsid w:val="00C8591D"/>
    <w:rsid w:val="00CA098B"/>
    <w:rsid w:val="00CC526E"/>
    <w:rsid w:val="00CC5D28"/>
    <w:rsid w:val="00CF7AB5"/>
    <w:rsid w:val="00D45CBA"/>
    <w:rsid w:val="00D462CC"/>
    <w:rsid w:val="00D52B8E"/>
    <w:rsid w:val="00D735C1"/>
    <w:rsid w:val="00D8522D"/>
    <w:rsid w:val="00D92198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F7A1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E724-23E9-474F-8519-1975C63A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3778</Words>
  <Characters>22671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2</cp:revision>
  <cp:lastPrinted>2022-11-23T12:29:00Z</cp:lastPrinted>
  <dcterms:created xsi:type="dcterms:W3CDTF">2023-05-25T08:09:00Z</dcterms:created>
  <dcterms:modified xsi:type="dcterms:W3CDTF">2023-05-25T08:09:00Z</dcterms:modified>
</cp:coreProperties>
</file>